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C6CE" w14:textId="2999B249" w:rsidR="00F90797" w:rsidRDefault="00F90797" w:rsidP="00F90797">
      <w:pPr>
        <w:spacing w:before="120" w:after="120"/>
        <w:rPr>
          <w:u w:val="single"/>
          <w:lang w:val="sr-Cyrl-RS"/>
        </w:rPr>
      </w:pPr>
      <w:r w:rsidRPr="00F90797">
        <w:rPr>
          <w:u w:val="single"/>
          <w:lang w:val="sr-Cyrl-RS"/>
        </w:rPr>
        <w:t>Srpska verzija</w:t>
      </w:r>
    </w:p>
    <w:p w14:paraId="08595BA3" w14:textId="12FF31B6" w:rsidR="00F90797" w:rsidRDefault="00D003A5" w:rsidP="00D003A5">
      <w:pPr>
        <w:spacing w:before="120" w:after="120"/>
        <w:jc w:val="center"/>
        <w:rPr>
          <w:b/>
          <w:bCs/>
          <w:sz w:val="32"/>
          <w:szCs w:val="28"/>
          <w:lang w:val="sr-Cyrl-RS"/>
        </w:rPr>
      </w:pPr>
      <w:r>
        <w:rPr>
          <w:b/>
          <w:bCs/>
          <w:sz w:val="32"/>
          <w:szCs w:val="28"/>
          <w:lang w:val="sr-Cyrl-RS"/>
        </w:rPr>
        <w:t>Позив за понуде:</w:t>
      </w:r>
    </w:p>
    <w:p w14:paraId="0B1C6E76" w14:textId="77777777" w:rsidR="009E1DF3" w:rsidRDefault="009E1DF3" w:rsidP="001840C0">
      <w:pPr>
        <w:spacing w:before="120" w:after="120"/>
        <w:ind w:firstLine="720"/>
        <w:jc w:val="center"/>
        <w:rPr>
          <w:b/>
          <w:bCs/>
          <w:sz w:val="32"/>
          <w:szCs w:val="28"/>
          <w:lang w:val="sr-Cyrl-RS"/>
        </w:rPr>
      </w:pPr>
      <w:r w:rsidRPr="009E1DF3">
        <w:rPr>
          <w:b/>
          <w:bCs/>
          <w:sz w:val="32"/>
          <w:szCs w:val="28"/>
          <w:lang w:val="sr-Cyrl-RS"/>
        </w:rPr>
        <w:t>Набавка проширења вирутализационих капацитета АМРЕС дата центра и система за мониторинг рада школских мрежа</w:t>
      </w:r>
    </w:p>
    <w:p w14:paraId="433303DD" w14:textId="70C60A6E" w:rsidR="00D42CAA" w:rsidRPr="00D42CAA" w:rsidRDefault="00D42CAA" w:rsidP="001840C0">
      <w:pPr>
        <w:spacing w:before="120" w:after="120"/>
        <w:ind w:firstLine="720"/>
        <w:jc w:val="center"/>
        <w:rPr>
          <w:lang w:val="sr-Cyrl-RS"/>
        </w:rPr>
      </w:pPr>
      <w:r w:rsidRPr="001840C0">
        <w:rPr>
          <w:lang w:val="sr-Cyrl-RS"/>
        </w:rPr>
        <w:t xml:space="preserve">Набавка број: </w:t>
      </w:r>
      <w:r w:rsidR="001840C0" w:rsidRPr="001840C0">
        <w:rPr>
          <w:lang w:val="sr-Cyrl-RS"/>
        </w:rPr>
        <w:t>EIB-GtP/</w:t>
      </w:r>
      <w:r w:rsidR="003800CD" w:rsidRPr="003800CD">
        <w:t xml:space="preserve"> </w:t>
      </w:r>
      <w:r w:rsidR="003800CD" w:rsidRPr="003800CD">
        <w:rPr>
          <w:lang w:val="sr-Cyrl-RS"/>
        </w:rPr>
        <w:t>337-00-77/2023-06</w:t>
      </w:r>
    </w:p>
    <w:p w14:paraId="7B3C7479" w14:textId="77777777" w:rsidR="00D42CAA" w:rsidRPr="00D42CAA" w:rsidRDefault="00D42CAA" w:rsidP="00D42CAA">
      <w:pPr>
        <w:spacing w:before="120" w:after="120"/>
        <w:rPr>
          <w:lang w:val="sr-Cyrl-RS"/>
        </w:rPr>
      </w:pPr>
    </w:p>
    <w:p w14:paraId="045886EB" w14:textId="77777777" w:rsidR="00D42CAA" w:rsidRPr="00D42CAA" w:rsidRDefault="00D42CAA" w:rsidP="00D42CAA">
      <w:pPr>
        <w:spacing w:before="120" w:after="120"/>
        <w:rPr>
          <w:lang w:val="sr-Cyrl-RS"/>
        </w:rPr>
      </w:pPr>
    </w:p>
    <w:p w14:paraId="264E1D85" w14:textId="035309DB" w:rsidR="00D42CAA" w:rsidRPr="00D42CAA" w:rsidRDefault="00D42CAA" w:rsidP="00D42CAA">
      <w:pPr>
        <w:spacing w:before="120" w:after="120"/>
        <w:rPr>
          <w:lang w:val="sr-Cyrl-RS"/>
        </w:rPr>
      </w:pPr>
      <w:r w:rsidRPr="00D42CAA">
        <w:rPr>
          <w:lang w:val="sr-Cyrl-RS"/>
        </w:rPr>
        <w:t xml:space="preserve">Наручилац: Министарство </w:t>
      </w:r>
      <w:r w:rsidR="00884F64">
        <w:rPr>
          <w:lang w:val="sr-Cyrl-RS"/>
        </w:rPr>
        <w:t>информација</w:t>
      </w:r>
      <w:r w:rsidRPr="00D42CAA">
        <w:rPr>
          <w:lang w:val="sr-Cyrl-RS"/>
        </w:rPr>
        <w:t xml:space="preserve"> и телекомуникација, Република Србија</w:t>
      </w:r>
    </w:p>
    <w:p w14:paraId="1DCF4791" w14:textId="53AE343B" w:rsidR="00D42CAA" w:rsidRPr="00D42CAA" w:rsidRDefault="00D42CAA" w:rsidP="00D42CAA">
      <w:pPr>
        <w:spacing w:before="120" w:after="120"/>
        <w:rPr>
          <w:lang w:val="sr-Cyrl-RS"/>
        </w:rPr>
      </w:pPr>
      <w:r w:rsidRPr="00D42CAA">
        <w:rPr>
          <w:lang w:val="sr-Cyrl-RS"/>
        </w:rPr>
        <w:t>Немањина 22-26</w:t>
      </w:r>
    </w:p>
    <w:p w14:paraId="33F94DC2" w14:textId="5D16998B" w:rsidR="00D42CAA" w:rsidRPr="00D42CAA" w:rsidRDefault="00D42CAA" w:rsidP="00D42CAA">
      <w:pPr>
        <w:spacing w:before="120" w:after="120"/>
        <w:rPr>
          <w:lang w:val="sr-Cyrl-RS"/>
        </w:rPr>
      </w:pPr>
      <w:r w:rsidRPr="00D42CAA">
        <w:rPr>
          <w:lang w:val="sr-Cyrl-RS"/>
        </w:rPr>
        <w:t>Београд</w:t>
      </w:r>
    </w:p>
    <w:p w14:paraId="7E28DB46" w14:textId="470D48BB" w:rsidR="00D42CAA" w:rsidRPr="00D42CAA" w:rsidRDefault="00D42CAA" w:rsidP="00D42CAA">
      <w:pPr>
        <w:spacing w:before="120" w:after="120"/>
        <w:rPr>
          <w:lang w:val="sr-Cyrl-RS"/>
        </w:rPr>
      </w:pPr>
      <w:r w:rsidRPr="00D42CAA">
        <w:rPr>
          <w:lang w:val="sr-Cyrl-RS"/>
        </w:rPr>
        <w:t>РЕПУБЛИКА СРБИЈА</w:t>
      </w:r>
    </w:p>
    <w:p w14:paraId="7B38E534" w14:textId="67F2DDF9" w:rsidR="00D42CAA" w:rsidRPr="00541019" w:rsidRDefault="00D42CAA" w:rsidP="00D42CAA">
      <w:pPr>
        <w:spacing w:before="120" w:after="120"/>
        <w:rPr>
          <w:lang w:val="sr-Cyrl-RS"/>
        </w:rPr>
      </w:pPr>
      <w:r w:rsidRPr="00D42CAA">
        <w:rPr>
          <w:lang w:val="sr-Cyrl-RS"/>
        </w:rPr>
        <w:t xml:space="preserve">Е-пошта: </w:t>
      </w:r>
      <w:hyperlink r:id="rId5" w:history="1">
        <w:r w:rsidR="00541019" w:rsidRPr="00F7363B">
          <w:rPr>
            <w:rStyle w:val="Hyperlink"/>
          </w:rPr>
          <w:t>internationalpublicprocurement@mit.gov.rs</w:t>
        </w:r>
      </w:hyperlink>
      <w:r w:rsidR="00541019">
        <w:rPr>
          <w:lang w:val="sr-Cyrl-RS"/>
        </w:rPr>
        <w:t xml:space="preserve"> </w:t>
      </w:r>
    </w:p>
    <w:p w14:paraId="7FE97893" w14:textId="6558A72B" w:rsidR="00D42CAA" w:rsidRPr="002F008B" w:rsidRDefault="00D42CAA" w:rsidP="00D42CAA">
      <w:pPr>
        <w:spacing w:before="120" w:after="120"/>
        <w:rPr>
          <w:lang w:val="sr-Latn-RS"/>
        </w:rPr>
      </w:pPr>
      <w:r w:rsidRPr="00D42CAA">
        <w:rPr>
          <w:lang w:val="sr-Cyrl-RS"/>
        </w:rPr>
        <w:t xml:space="preserve">Интернет адреса: </w:t>
      </w:r>
      <w:r w:rsidR="002F008B">
        <w:rPr>
          <w:lang w:val="sr-Cyrl-RS"/>
        </w:rPr>
        <w:fldChar w:fldCharType="begin"/>
      </w:r>
      <w:r w:rsidR="002F008B">
        <w:rPr>
          <w:lang w:val="sr-Cyrl-RS"/>
        </w:rPr>
        <w:instrText>HYPERLINK "</w:instrText>
      </w:r>
      <w:r w:rsidR="002F008B" w:rsidRPr="002F008B">
        <w:rPr>
          <w:lang w:val="sr-Cyrl-RS"/>
        </w:rPr>
        <w:instrText>http://www.mit.gov.rs/</w:instrText>
      </w:r>
      <w:r w:rsidR="002F008B">
        <w:rPr>
          <w:lang w:val="sr-Cyrl-RS"/>
        </w:rPr>
        <w:instrText>"</w:instrText>
      </w:r>
      <w:r w:rsidR="002F008B">
        <w:rPr>
          <w:lang w:val="sr-Cyrl-RS"/>
        </w:rPr>
        <w:fldChar w:fldCharType="separate"/>
      </w:r>
      <w:r w:rsidR="002F008B" w:rsidRPr="00F7363B">
        <w:rPr>
          <w:rStyle w:val="Hyperlink"/>
          <w:lang w:val="sr-Cyrl-RS"/>
        </w:rPr>
        <w:t>http://www.mit.gov.rs/</w:t>
      </w:r>
      <w:r w:rsidR="002F008B">
        <w:rPr>
          <w:lang w:val="sr-Cyrl-RS"/>
        </w:rPr>
        <w:fldChar w:fldCharType="end"/>
      </w:r>
      <w:r w:rsidR="002F008B">
        <w:rPr>
          <w:lang w:val="sr-Latn-RS"/>
        </w:rPr>
        <w:t xml:space="preserve"> </w:t>
      </w:r>
    </w:p>
    <w:p w14:paraId="03A9F702" w14:textId="597DB4BD" w:rsidR="00D42CAA" w:rsidRDefault="00D42CAA" w:rsidP="00D42CAA">
      <w:pPr>
        <w:spacing w:before="120" w:after="120"/>
        <w:rPr>
          <w:lang w:val="sr-Cyrl-RS"/>
        </w:rPr>
      </w:pPr>
    </w:p>
    <w:p w14:paraId="6C601E4A" w14:textId="1A54FA76" w:rsidR="00156BA0" w:rsidRPr="00156BA0" w:rsidRDefault="00156BA0" w:rsidP="00156BA0">
      <w:pPr>
        <w:spacing w:before="120" w:after="120"/>
        <w:rPr>
          <w:lang w:val="sr-Cyrl-RS"/>
        </w:rPr>
      </w:pPr>
      <w:r w:rsidRPr="00156BA0">
        <w:rPr>
          <w:lang w:val="sr-Cyrl-RS"/>
        </w:rPr>
        <w:t xml:space="preserve">Република Србија (у даљем тексту „Зајмопримац“) примила је финансирање од Европске инвестиционе банке („Банка“ или „ЕИБ“) у облику кредита (у даљем тексту „кредит“) за трошкове </w:t>
      </w:r>
      <w:r>
        <w:rPr>
          <w:lang w:val="sr-Cyrl-RS"/>
        </w:rPr>
        <w:t>реализације</w:t>
      </w:r>
      <w:r w:rsidRPr="00156BA0">
        <w:rPr>
          <w:lang w:val="sr-Cyrl-RS"/>
        </w:rPr>
        <w:t xml:space="preserve"> националног инвестиционог програма дигиталног образовања „Повезане школе“ у Србији. Министарство </w:t>
      </w:r>
      <w:r w:rsidR="00900FE0">
        <w:rPr>
          <w:lang w:val="sr-Cyrl-RS"/>
        </w:rPr>
        <w:t>информација и</w:t>
      </w:r>
      <w:r w:rsidRPr="00156BA0">
        <w:rPr>
          <w:lang w:val="sr-Cyrl-RS"/>
        </w:rPr>
        <w:t xml:space="preserve"> телекомуникација, имплемент</w:t>
      </w:r>
      <w:r w:rsidR="00D003A5">
        <w:rPr>
          <w:lang w:val="sr-Cyrl-RS"/>
        </w:rPr>
        <w:t>атор</w:t>
      </w:r>
      <w:r w:rsidRPr="00156BA0">
        <w:rPr>
          <w:lang w:val="sr-Cyrl-RS"/>
        </w:rPr>
        <w:t xml:space="preserve"> пројект</w:t>
      </w:r>
      <w:r w:rsidR="00D003A5">
        <w:rPr>
          <w:lang w:val="sr-Cyrl-RS"/>
        </w:rPr>
        <w:t>а</w:t>
      </w:r>
      <w:r w:rsidRPr="00156BA0">
        <w:rPr>
          <w:lang w:val="sr-Cyrl-RS"/>
        </w:rPr>
        <w:t xml:space="preserve"> у име Зајмопримца и Наручилац, намерава да утроши део средстава од овог кредита на прихватљиве исплате по уговору за који је </w:t>
      </w:r>
      <w:r>
        <w:rPr>
          <w:lang w:val="sr-Cyrl-RS"/>
        </w:rPr>
        <w:t>објављен</w:t>
      </w:r>
      <w:r w:rsidRPr="00156BA0">
        <w:rPr>
          <w:lang w:val="sr-Cyrl-RS"/>
        </w:rPr>
        <w:t xml:space="preserve"> овај Позив за понуде.</w:t>
      </w:r>
    </w:p>
    <w:p w14:paraId="3E76DE29" w14:textId="7A910EAB" w:rsidR="00156BA0" w:rsidRPr="00156BA0" w:rsidRDefault="005A35FE" w:rsidP="00156BA0">
      <w:pPr>
        <w:spacing w:before="120" w:after="120"/>
        <w:rPr>
          <w:lang w:val="sr-Cyrl-RS"/>
        </w:rPr>
      </w:pPr>
      <w:r>
        <w:rPr>
          <w:lang w:val="sr-Cyrl-RS"/>
        </w:rPr>
        <w:t>Наручилац</w:t>
      </w:r>
      <w:r w:rsidR="00156BA0" w:rsidRPr="00156BA0">
        <w:rPr>
          <w:lang w:val="sr-Cyrl-RS"/>
        </w:rPr>
        <w:t xml:space="preserve"> </w:t>
      </w:r>
      <w:r>
        <w:rPr>
          <w:lang w:val="sr-Cyrl-RS"/>
        </w:rPr>
        <w:t>овим путем</w:t>
      </w:r>
      <w:r w:rsidR="00156BA0" w:rsidRPr="00156BA0">
        <w:rPr>
          <w:lang w:val="sr-Cyrl-RS"/>
        </w:rPr>
        <w:t xml:space="preserve"> </w:t>
      </w:r>
      <w:r>
        <w:rPr>
          <w:lang w:val="sr-Cyrl-RS"/>
        </w:rPr>
        <w:t>објављује позив</w:t>
      </w:r>
      <w:r w:rsidR="00156BA0" w:rsidRPr="00156BA0">
        <w:rPr>
          <w:lang w:val="sr-Cyrl-RS"/>
        </w:rPr>
        <w:t xml:space="preserve"> </w:t>
      </w:r>
      <w:r>
        <w:rPr>
          <w:lang w:val="sr-Cyrl-RS"/>
        </w:rPr>
        <w:t>з</w:t>
      </w:r>
      <w:r w:rsidR="00156BA0" w:rsidRPr="00156BA0">
        <w:rPr>
          <w:lang w:val="sr-Cyrl-RS"/>
        </w:rPr>
        <w:t xml:space="preserve">а </w:t>
      </w:r>
      <w:r w:rsidR="00397D3A">
        <w:rPr>
          <w:lang w:val="sr-Cyrl-RS"/>
        </w:rPr>
        <w:t>набавку следећих добара</w:t>
      </w:r>
      <w:r w:rsidR="00156BA0" w:rsidRPr="00156BA0">
        <w:rPr>
          <w:lang w:val="sr-Cyrl-RS"/>
        </w:rPr>
        <w:t xml:space="preserve">: </w:t>
      </w:r>
      <w:r w:rsidR="00900FE0" w:rsidRPr="00900FE0">
        <w:rPr>
          <w:b/>
          <w:bCs/>
          <w:lang w:val="sr-Cyrl-RS"/>
        </w:rPr>
        <w:t>Набавка проширења вирутализационих капацитета АМРЕС дата центра и система за мониторинг рада школских мрежа</w:t>
      </w:r>
      <w:r w:rsidR="00156BA0" w:rsidRPr="00D003A5">
        <w:rPr>
          <w:b/>
          <w:bCs/>
          <w:lang w:val="sr-Cyrl-RS"/>
        </w:rPr>
        <w:t>.</w:t>
      </w:r>
      <w:r w:rsidR="00156BA0" w:rsidRPr="00156BA0">
        <w:rPr>
          <w:lang w:val="sr-Cyrl-RS"/>
        </w:rPr>
        <w:t xml:space="preserve"> </w:t>
      </w:r>
      <w:r w:rsidR="006756ED" w:rsidRPr="006756ED">
        <w:rPr>
          <w:lang w:val="sr-Cyrl-RS"/>
        </w:rPr>
        <w:t>Предмет ов</w:t>
      </w:r>
      <w:r w:rsidR="00A45342">
        <w:rPr>
          <w:lang w:val="sr-Cyrl-RS"/>
        </w:rPr>
        <w:t xml:space="preserve">е набавке </w:t>
      </w:r>
      <w:r w:rsidR="006756ED" w:rsidRPr="006756ED">
        <w:rPr>
          <w:lang w:val="sr-Cyrl-RS"/>
        </w:rPr>
        <w:t>је надоградња академске мреже података са циљем да се убрза пут до софтверски дефинисане архитектуре центра података (</w:t>
      </w:r>
      <w:r w:rsidR="00530113" w:rsidRPr="00530113">
        <w:rPr>
          <w:lang w:val="sr-Cyrl-RS"/>
        </w:rPr>
        <w:t xml:space="preserve">Software Defined Data Center architecture </w:t>
      </w:r>
      <w:r w:rsidR="00530113">
        <w:rPr>
          <w:lang w:val="sr-Cyrl-RS"/>
        </w:rPr>
        <w:t xml:space="preserve">- </w:t>
      </w:r>
      <w:r w:rsidR="00530113" w:rsidRPr="00530113">
        <w:rPr>
          <w:lang w:val="sr-Cyrl-RS"/>
        </w:rPr>
        <w:t>SDDC)</w:t>
      </w:r>
      <w:r w:rsidR="00530113">
        <w:rPr>
          <w:lang w:val="sr-Cyrl-RS"/>
        </w:rPr>
        <w:t xml:space="preserve"> набавком </w:t>
      </w:r>
      <w:r w:rsidR="006756ED" w:rsidRPr="006756ED">
        <w:rPr>
          <w:lang w:val="sr-Cyrl-RS"/>
        </w:rPr>
        <w:t xml:space="preserve"> приватне платформе у облаку која ће се користити за креирање и испоруку свих различитих услуга за свог корисника</w:t>
      </w:r>
      <w:r w:rsidR="00156BA0" w:rsidRPr="00156BA0">
        <w:rPr>
          <w:lang w:val="sr-Cyrl-RS"/>
        </w:rPr>
        <w:t xml:space="preserve">. Више детаља </w:t>
      </w:r>
      <w:r w:rsidR="00397D3A">
        <w:rPr>
          <w:lang w:val="sr-Cyrl-RS"/>
        </w:rPr>
        <w:t xml:space="preserve">о </w:t>
      </w:r>
      <w:r w:rsidR="00E844C7">
        <w:rPr>
          <w:lang w:val="sr-Cyrl-RS"/>
        </w:rPr>
        <w:t xml:space="preserve">добрима која се набављају </w:t>
      </w:r>
      <w:r w:rsidR="00156BA0" w:rsidRPr="00156BA0">
        <w:rPr>
          <w:lang w:val="sr-Cyrl-RS"/>
        </w:rPr>
        <w:t xml:space="preserve">налази се у Пројектном задатку </w:t>
      </w:r>
      <w:r>
        <w:rPr>
          <w:lang w:val="sr-Cyrl-RS"/>
        </w:rPr>
        <w:t>у тендерској документацији</w:t>
      </w:r>
      <w:r w:rsidR="00156BA0" w:rsidRPr="00156BA0">
        <w:rPr>
          <w:lang w:val="sr-Cyrl-RS"/>
        </w:rPr>
        <w:t>. Учешће у поступку набавке отворено је за све квалификоване кандидате.</w:t>
      </w:r>
    </w:p>
    <w:p w14:paraId="71359419" w14:textId="6C675D6A" w:rsidR="00156BA0" w:rsidRPr="00156BA0" w:rsidRDefault="00D003A5" w:rsidP="00156BA0">
      <w:pPr>
        <w:spacing w:before="120" w:after="120"/>
        <w:rPr>
          <w:lang w:val="sr-Cyrl-RS"/>
        </w:rPr>
      </w:pPr>
      <w:r>
        <w:rPr>
          <w:lang w:val="sr-Cyrl-RS"/>
        </w:rPr>
        <w:t>Понуђач</w:t>
      </w:r>
      <w:r w:rsidR="00156BA0" w:rsidRPr="00156BA0">
        <w:rPr>
          <w:lang w:val="sr-Cyrl-RS"/>
        </w:rPr>
        <w:t xml:space="preserve"> ће бити изабран у оквиру међународног отвореног поступка (поступак </w:t>
      </w:r>
      <w:r w:rsidR="005A35FE">
        <w:rPr>
          <w:lang w:val="sr-Cyrl-RS"/>
        </w:rPr>
        <w:t>набавке</w:t>
      </w:r>
      <w:r w:rsidR="00156BA0" w:rsidRPr="00156BA0">
        <w:rPr>
          <w:lang w:val="sr-Cyrl-RS"/>
        </w:rPr>
        <w:t xml:space="preserve"> </w:t>
      </w:r>
      <w:r w:rsidR="005A35FE">
        <w:rPr>
          <w:lang w:val="sr-Cyrl-RS"/>
        </w:rPr>
        <w:t>са</w:t>
      </w:r>
      <w:r w:rsidR="00156BA0" w:rsidRPr="00156BA0">
        <w:rPr>
          <w:lang w:val="sr-Cyrl-RS"/>
        </w:rPr>
        <w:t xml:space="preserve"> две коверте) како је описано у позиву за јавн</w:t>
      </w:r>
      <w:r w:rsidR="005A35FE">
        <w:rPr>
          <w:lang w:val="sr-Cyrl-RS"/>
        </w:rPr>
        <w:t>у набавку</w:t>
      </w:r>
      <w:r w:rsidR="00156BA0" w:rsidRPr="00156BA0">
        <w:rPr>
          <w:lang w:val="sr-Cyrl-RS"/>
        </w:rPr>
        <w:t>, у складу са одредбама Водича ЕИБ-а за набавке („</w:t>
      </w:r>
      <w:r w:rsidR="005A35FE">
        <w:rPr>
          <w:lang w:val="bs-Latn-BA"/>
        </w:rPr>
        <w:t>GtP</w:t>
      </w:r>
      <w:r w:rsidR="00156BA0" w:rsidRPr="00156BA0">
        <w:rPr>
          <w:lang w:val="sr-Cyrl-RS"/>
        </w:rPr>
        <w:t xml:space="preserve">“), који се може наћи на следећој веб </w:t>
      </w:r>
      <w:r>
        <w:rPr>
          <w:lang w:val="sr-Cyrl-RS"/>
        </w:rPr>
        <w:t>страници</w:t>
      </w:r>
      <w:r w:rsidR="00156BA0" w:rsidRPr="00156BA0">
        <w:rPr>
          <w:lang w:val="sr-Cyrl-RS"/>
        </w:rPr>
        <w:t>:</w:t>
      </w:r>
    </w:p>
    <w:p w14:paraId="41BCFD06" w14:textId="77777777" w:rsidR="005A35FE" w:rsidRDefault="00156BA0" w:rsidP="005A35FE">
      <w:pPr>
        <w:spacing w:before="60" w:after="120"/>
        <w:rPr>
          <w:rStyle w:val="Style2"/>
          <w:rFonts w:ascii="Times New Roman" w:hAnsi="Times New Roman" w:cs="Times New Roman"/>
          <w:sz w:val="24"/>
          <w:szCs w:val="24"/>
        </w:rPr>
      </w:pPr>
      <w:r w:rsidRPr="00156BA0">
        <w:rPr>
          <w:lang w:val="sr-Cyrl-RS"/>
        </w:rPr>
        <w:t xml:space="preserve"> </w:t>
      </w:r>
      <w:r w:rsidR="005A35FE"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A35FE" w:rsidRPr="001840C0">
          <w:rPr>
            <w:rStyle w:val="Hyperlink"/>
            <w:rFonts w:cs="Times New Roman"/>
            <w:szCs w:val="24"/>
          </w:rPr>
          <w:t>https://www.eib.org/en/publications/guide-to-procurement</w:t>
        </w:r>
      </w:hyperlink>
      <w:r w:rsidR="005A35FE"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. </w:t>
      </w:r>
    </w:p>
    <w:p w14:paraId="46C5DCC2" w14:textId="03184ABE" w:rsidR="00156BA0" w:rsidRPr="00156BA0" w:rsidRDefault="00156BA0" w:rsidP="00156BA0">
      <w:pPr>
        <w:spacing w:before="120" w:after="120"/>
        <w:rPr>
          <w:lang w:val="sr-Cyrl-RS"/>
        </w:rPr>
      </w:pPr>
      <w:r w:rsidRPr="00156BA0">
        <w:rPr>
          <w:lang w:val="sr-Cyrl-RS"/>
        </w:rPr>
        <w:t>Критеријум оцењивања је економски најповољни</w:t>
      </w:r>
      <w:r w:rsidR="005A35FE">
        <w:rPr>
          <w:lang w:val="sr-Cyrl-RS"/>
        </w:rPr>
        <w:t>ја понуда</w:t>
      </w:r>
      <w:r w:rsidRPr="00156BA0">
        <w:rPr>
          <w:lang w:val="sr-Cyrl-RS"/>
        </w:rPr>
        <w:t>.</w:t>
      </w:r>
    </w:p>
    <w:p w14:paraId="4C95977C" w14:textId="6F28DC5C" w:rsidR="00156BA0" w:rsidRDefault="005A35FE" w:rsidP="00156BA0">
      <w:pPr>
        <w:spacing w:before="120" w:after="120"/>
        <w:rPr>
          <w:lang w:val="sr-Cyrl-RS"/>
        </w:rPr>
      </w:pPr>
      <w:r>
        <w:rPr>
          <w:lang w:val="sr-Cyrl-RS"/>
        </w:rPr>
        <w:t>Сваку понуду мора да прати г</w:t>
      </w:r>
      <w:r w:rsidR="00156BA0" w:rsidRPr="00156BA0">
        <w:rPr>
          <w:lang w:val="sr-Cyrl-RS"/>
        </w:rPr>
        <w:t xml:space="preserve">аранција </w:t>
      </w:r>
      <w:r>
        <w:rPr>
          <w:lang w:val="sr-Cyrl-RS"/>
        </w:rPr>
        <w:t xml:space="preserve">за озбиљност понуде </w:t>
      </w:r>
      <w:r w:rsidR="00156BA0" w:rsidRPr="00156BA0">
        <w:rPr>
          <w:lang w:val="sr-Cyrl-RS"/>
        </w:rPr>
        <w:t xml:space="preserve">и она мора бити у облику безусловне, неопозиве и наплативе на први позив банкарске гаранције коју је издала банка. </w:t>
      </w:r>
      <w:r w:rsidR="00156BA0" w:rsidRPr="00156BA0">
        <w:rPr>
          <w:lang w:val="sr-Cyrl-RS"/>
        </w:rPr>
        <w:lastRenderedPageBreak/>
        <w:t>Износ и валута гаранције предлога биће 2</w:t>
      </w:r>
      <w:r w:rsidR="008C2E3F">
        <w:rPr>
          <w:lang w:val="sr-Cyrl-RS"/>
        </w:rPr>
        <w:t>5</w:t>
      </w:r>
      <w:r w:rsidR="00156BA0" w:rsidRPr="00156BA0">
        <w:rPr>
          <w:lang w:val="sr-Cyrl-RS"/>
        </w:rPr>
        <w:t xml:space="preserve">.000,00 ЕУР са роком важења не краћим од периода важења </w:t>
      </w:r>
      <w:r w:rsidR="00D003A5">
        <w:rPr>
          <w:lang w:val="sr-Cyrl-RS"/>
        </w:rPr>
        <w:t>понуде</w:t>
      </w:r>
      <w:r w:rsidR="00156BA0" w:rsidRPr="00156BA0">
        <w:rPr>
          <w:lang w:val="sr-Cyrl-RS"/>
        </w:rPr>
        <w:t xml:space="preserve"> плус </w:t>
      </w:r>
      <w:r w:rsidR="00E266B9">
        <w:rPr>
          <w:lang w:val="en-GB"/>
        </w:rPr>
        <w:t>28</w:t>
      </w:r>
      <w:r w:rsidR="00156BA0" w:rsidRPr="00156BA0">
        <w:rPr>
          <w:lang w:val="sr-Cyrl-RS"/>
        </w:rPr>
        <w:t xml:space="preserve"> дана</w:t>
      </w:r>
      <w:r w:rsidR="00E266B9">
        <w:rPr>
          <w:lang w:val="en-GB"/>
        </w:rPr>
        <w:t xml:space="preserve"> (148 </w:t>
      </w:r>
      <w:r w:rsidR="00E266B9">
        <w:rPr>
          <w:lang w:val="sr-Cyrl-RS"/>
        </w:rPr>
        <w:t>дана укупно</w:t>
      </w:r>
      <w:r w:rsidR="00E266B9">
        <w:rPr>
          <w:lang w:val="en-GB"/>
        </w:rPr>
        <w:t>)</w:t>
      </w:r>
      <w:r w:rsidR="00156BA0" w:rsidRPr="00156BA0">
        <w:rPr>
          <w:lang w:val="sr-Cyrl-RS"/>
        </w:rPr>
        <w:t xml:space="preserve">. За </w:t>
      </w:r>
      <w:r w:rsidR="008D79F3">
        <w:rPr>
          <w:lang w:val="sr-Cyrl-RS"/>
        </w:rPr>
        <w:t>понуђаче</w:t>
      </w:r>
      <w:r w:rsidR="00156BA0" w:rsidRPr="00156BA0">
        <w:rPr>
          <w:lang w:val="sr-Cyrl-RS"/>
        </w:rPr>
        <w:t xml:space="preserve"> из државе </w:t>
      </w:r>
      <w:r w:rsidR="00D003A5">
        <w:rPr>
          <w:lang w:val="sr-Cyrl-RS"/>
        </w:rPr>
        <w:t>Наручиоца</w:t>
      </w:r>
      <w:r w:rsidR="00156BA0" w:rsidRPr="00156BA0">
        <w:rPr>
          <w:lang w:val="sr-Cyrl-RS"/>
        </w:rPr>
        <w:t xml:space="preserve">: Плативо у динарима по средњем курсу Народне банке Србије на дан </w:t>
      </w:r>
      <w:r w:rsidR="00D003A5">
        <w:rPr>
          <w:lang w:val="sr-Cyrl-RS"/>
        </w:rPr>
        <w:t>реализације</w:t>
      </w:r>
      <w:r w:rsidR="00156BA0" w:rsidRPr="00156BA0">
        <w:rPr>
          <w:lang w:val="sr-Cyrl-RS"/>
        </w:rPr>
        <w:t xml:space="preserve"> гаранциј</w:t>
      </w:r>
      <w:r w:rsidR="00D003A5">
        <w:rPr>
          <w:lang w:val="sr-Cyrl-RS"/>
        </w:rPr>
        <w:t>е</w:t>
      </w:r>
      <w:r w:rsidR="00156BA0" w:rsidRPr="00156BA0">
        <w:rPr>
          <w:lang w:val="sr-Cyrl-RS"/>
        </w:rPr>
        <w:t>.</w:t>
      </w:r>
    </w:p>
    <w:p w14:paraId="21E15CB2" w14:textId="55F9465B" w:rsidR="00156BA0" w:rsidRPr="00156BA0" w:rsidRDefault="00156BA0" w:rsidP="00156BA0">
      <w:pPr>
        <w:spacing w:before="120" w:after="120"/>
        <w:rPr>
          <w:lang w:val="sr-Cyrl-RS"/>
        </w:rPr>
      </w:pPr>
      <w:r w:rsidRPr="00156BA0">
        <w:rPr>
          <w:lang w:val="sr-Cyrl-RS"/>
        </w:rPr>
        <w:t>Датум подношења понуда: 07.0</w:t>
      </w:r>
      <w:r w:rsidR="00E266B9">
        <w:rPr>
          <w:lang w:val="en-GB"/>
        </w:rPr>
        <w:t>8</w:t>
      </w:r>
      <w:r w:rsidRPr="00156BA0">
        <w:rPr>
          <w:lang w:val="sr-Cyrl-RS"/>
        </w:rPr>
        <w:t>.202</w:t>
      </w:r>
      <w:r w:rsidR="00E266B9">
        <w:rPr>
          <w:lang w:val="en-GB"/>
        </w:rPr>
        <w:t>3</w:t>
      </w:r>
      <w:r w:rsidRPr="00156BA0">
        <w:rPr>
          <w:lang w:val="sr-Cyrl-RS"/>
        </w:rPr>
        <w:t xml:space="preserve"> у 1</w:t>
      </w:r>
      <w:r w:rsidR="00E266B9">
        <w:rPr>
          <w:lang w:val="en-GB"/>
        </w:rPr>
        <w:t>0</w:t>
      </w:r>
      <w:r w:rsidRPr="00156BA0">
        <w:rPr>
          <w:lang w:val="sr-Cyrl-RS"/>
        </w:rPr>
        <w:t>:00 (по локалном времену).</w:t>
      </w:r>
    </w:p>
    <w:p w14:paraId="5DADDAAD" w14:textId="77777777" w:rsidR="00156BA0" w:rsidRPr="00156BA0" w:rsidRDefault="00156BA0" w:rsidP="00156BA0">
      <w:pPr>
        <w:spacing w:before="120" w:after="120"/>
        <w:rPr>
          <w:lang w:val="sr-Cyrl-RS"/>
        </w:rPr>
      </w:pPr>
    </w:p>
    <w:p w14:paraId="0FE6EEC1" w14:textId="4B81540C" w:rsidR="00156BA0" w:rsidRPr="00156BA0" w:rsidRDefault="00156BA0" w:rsidP="00156BA0">
      <w:pPr>
        <w:spacing w:before="120" w:after="120"/>
        <w:rPr>
          <w:lang w:val="sr-Cyrl-RS"/>
        </w:rPr>
      </w:pPr>
      <w:r w:rsidRPr="00156BA0">
        <w:rPr>
          <w:lang w:val="sr-Cyrl-RS"/>
        </w:rPr>
        <w:t xml:space="preserve">Додатне информације могу се добити </w:t>
      </w:r>
      <w:r w:rsidR="00D003A5">
        <w:rPr>
          <w:lang w:val="sr-Cyrl-RS"/>
        </w:rPr>
        <w:t>путем е-поште</w:t>
      </w:r>
      <w:r w:rsidRPr="00156BA0">
        <w:rPr>
          <w:lang w:val="sr-Cyrl-RS"/>
        </w:rPr>
        <w:t xml:space="preserve">: </w:t>
      </w:r>
    </w:p>
    <w:p w14:paraId="1E7EF75A" w14:textId="1EAFFA38" w:rsidR="00D25C48" w:rsidRDefault="00D25C48" w:rsidP="00156BA0">
      <w:pPr>
        <w:spacing w:before="120" w:after="120"/>
      </w:pPr>
      <w:hyperlink r:id="rId7" w:history="1">
        <w:r w:rsidRPr="00F7363B">
          <w:rPr>
            <w:rStyle w:val="Hyperlink"/>
          </w:rPr>
          <w:t>internationalpublicprocurement@mit.gov.rs</w:t>
        </w:r>
      </w:hyperlink>
    </w:p>
    <w:p w14:paraId="6A730243" w14:textId="78318317" w:rsidR="00156BA0" w:rsidRDefault="00156BA0" w:rsidP="00156BA0">
      <w:pPr>
        <w:spacing w:before="120" w:after="120"/>
        <w:rPr>
          <w:lang w:val="sr-Cyrl-RS"/>
        </w:rPr>
      </w:pPr>
      <w:r w:rsidRPr="00156BA0">
        <w:rPr>
          <w:lang w:val="sr-Cyrl-RS"/>
        </w:rPr>
        <w:t xml:space="preserve">Комплетно обавештење о уговору доступно је на интернет адреси: </w:t>
      </w:r>
    </w:p>
    <w:p w14:paraId="1B4625BD" w14:textId="68FDC64C" w:rsidR="001840C0" w:rsidRDefault="00413F1A">
      <w:pPr>
        <w:jc w:val="left"/>
        <w:rPr>
          <w:lang w:val="sr-Latn-RS"/>
        </w:rPr>
      </w:pPr>
      <w:hyperlink r:id="rId8" w:history="1">
        <w:r w:rsidRPr="00F7363B">
          <w:rPr>
            <w:rStyle w:val="Hyperlink"/>
          </w:rPr>
          <w:t>https://ted.europa.eu/udl?uri=TED:NOTICE:374041-2023:TEXT:EN:HTML&amp;src=0&amp;tabId=1</w:t>
        </w:r>
      </w:hyperlink>
      <w:r>
        <w:t xml:space="preserve"> </w:t>
      </w:r>
      <w:r w:rsidR="001840C0">
        <w:rPr>
          <w:lang w:val="sr-Latn-RS"/>
        </w:rPr>
        <w:br w:type="page"/>
      </w:r>
    </w:p>
    <w:p w14:paraId="7588A0F9" w14:textId="191D7CB7" w:rsidR="00811EBF" w:rsidRDefault="00811EBF" w:rsidP="00167F6B">
      <w:pPr>
        <w:spacing w:before="120" w:after="120"/>
        <w:jc w:val="left"/>
        <w:rPr>
          <w:lang w:val="sr-Latn-RS"/>
        </w:rPr>
      </w:pPr>
      <w:r>
        <w:rPr>
          <w:lang w:val="sr-Latn-RS"/>
        </w:rPr>
        <w:lastRenderedPageBreak/>
        <w:t>English version</w:t>
      </w:r>
    </w:p>
    <w:p w14:paraId="7E285FD9" w14:textId="62EE6C28" w:rsidR="00D003A5" w:rsidRPr="00D003A5" w:rsidRDefault="00D003A5" w:rsidP="00D003A5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lang w:val="sr-Cyrl-RS"/>
        </w:rPr>
      </w:pPr>
      <w:r w:rsidRPr="00D003A5">
        <w:rPr>
          <w:b/>
          <w:bCs/>
          <w:sz w:val="28"/>
          <w:szCs w:val="28"/>
        </w:rPr>
        <w:t>Request for Proposals</w:t>
      </w:r>
      <w:r>
        <w:rPr>
          <w:rFonts w:asciiTheme="minorHAnsi" w:hAnsiTheme="minorHAnsi"/>
          <w:b/>
          <w:bCs/>
          <w:sz w:val="28"/>
          <w:szCs w:val="28"/>
          <w:lang w:val="sr-Cyrl-RS"/>
        </w:rPr>
        <w:t>:</w:t>
      </w:r>
    </w:p>
    <w:p w14:paraId="075C351F" w14:textId="77777777" w:rsidR="00811EBF" w:rsidRDefault="00811EBF" w:rsidP="00811EBF">
      <w:pPr>
        <w:pStyle w:val="Default"/>
      </w:pPr>
    </w:p>
    <w:p w14:paraId="125937C0" w14:textId="5E9A1A1F" w:rsidR="001840C0" w:rsidRDefault="00B62AD1" w:rsidP="00811EBF">
      <w:pPr>
        <w:pStyle w:val="Default"/>
        <w:jc w:val="center"/>
        <w:rPr>
          <w:b/>
          <w:bCs/>
          <w:sz w:val="28"/>
          <w:szCs w:val="28"/>
        </w:rPr>
      </w:pPr>
      <w:r w:rsidRPr="00B62AD1">
        <w:rPr>
          <w:b/>
          <w:bCs/>
          <w:sz w:val="28"/>
          <w:szCs w:val="28"/>
        </w:rPr>
        <w:t xml:space="preserve">Expansion of AMRES data </w:t>
      </w:r>
      <w:proofErr w:type="spellStart"/>
      <w:r w:rsidRPr="00B62AD1">
        <w:rPr>
          <w:b/>
          <w:bCs/>
          <w:sz w:val="28"/>
          <w:szCs w:val="28"/>
        </w:rPr>
        <w:t>center</w:t>
      </w:r>
      <w:proofErr w:type="spellEnd"/>
      <w:r w:rsidRPr="00B62AD1">
        <w:rPr>
          <w:b/>
          <w:bCs/>
          <w:sz w:val="28"/>
          <w:szCs w:val="28"/>
        </w:rPr>
        <w:t xml:space="preserve"> virtualization and school network monitoring capacities</w:t>
      </w:r>
    </w:p>
    <w:p w14:paraId="7C36DB73" w14:textId="77777777" w:rsidR="00B62AD1" w:rsidRDefault="00B62AD1" w:rsidP="00811EBF">
      <w:pPr>
        <w:pStyle w:val="Default"/>
        <w:jc w:val="center"/>
        <w:rPr>
          <w:b/>
          <w:bCs/>
          <w:sz w:val="28"/>
          <w:szCs w:val="28"/>
        </w:rPr>
      </w:pPr>
    </w:p>
    <w:p w14:paraId="1D88F5FA" w14:textId="17F0B2C6" w:rsidR="001840C0" w:rsidRPr="001840C0" w:rsidRDefault="00811EBF" w:rsidP="001840C0">
      <w:pPr>
        <w:jc w:val="center"/>
        <w:rPr>
          <w:rFonts w:ascii="Liberation Sans" w:hAnsi="Liberation Sans" w:cs="Liberation Sans"/>
          <w:color w:val="000000"/>
          <w:szCs w:val="24"/>
          <w:lang w:val="en-GB"/>
        </w:rPr>
      </w:pPr>
      <w:r w:rsidRPr="001840C0">
        <w:rPr>
          <w:rFonts w:ascii="Liberation Sans" w:hAnsi="Liberation Sans" w:cs="Liberation Sans"/>
          <w:color w:val="000000"/>
          <w:szCs w:val="24"/>
          <w:lang w:val="en-GB"/>
        </w:rPr>
        <w:t xml:space="preserve">Reference number: </w:t>
      </w:r>
      <w:r w:rsidR="001840C0" w:rsidRPr="001840C0">
        <w:rPr>
          <w:rFonts w:ascii="Liberation Sans" w:hAnsi="Liberation Sans" w:cs="Liberation Sans"/>
          <w:color w:val="000000"/>
          <w:szCs w:val="24"/>
          <w:lang w:val="en-GB"/>
        </w:rPr>
        <w:t>EIB-</w:t>
      </w:r>
      <w:proofErr w:type="spellStart"/>
      <w:r w:rsidR="001840C0" w:rsidRPr="001840C0">
        <w:rPr>
          <w:rFonts w:ascii="Liberation Sans" w:hAnsi="Liberation Sans" w:cs="Liberation Sans"/>
          <w:color w:val="000000"/>
          <w:szCs w:val="24"/>
          <w:lang w:val="en-GB"/>
        </w:rPr>
        <w:t>GtP</w:t>
      </w:r>
      <w:proofErr w:type="spellEnd"/>
      <w:r w:rsidR="001840C0" w:rsidRPr="001840C0">
        <w:rPr>
          <w:rFonts w:ascii="Liberation Sans" w:hAnsi="Liberation Sans" w:cs="Liberation Sans"/>
          <w:color w:val="000000"/>
          <w:szCs w:val="24"/>
          <w:lang w:val="en-GB"/>
        </w:rPr>
        <w:t>/</w:t>
      </w:r>
      <w:r w:rsidR="003800CD" w:rsidRPr="003800CD">
        <w:t xml:space="preserve"> </w:t>
      </w:r>
      <w:r w:rsidR="003800CD" w:rsidRPr="003800CD">
        <w:rPr>
          <w:rFonts w:ascii="Liberation Sans" w:hAnsi="Liberation Sans" w:cs="Liberation Sans"/>
          <w:color w:val="000000"/>
          <w:szCs w:val="24"/>
          <w:lang w:val="en-GB"/>
        </w:rPr>
        <w:t>337-00-77/2023-06</w:t>
      </w:r>
    </w:p>
    <w:p w14:paraId="4478A9F6" w14:textId="2A514692" w:rsidR="00811EBF" w:rsidRDefault="00811EBF" w:rsidP="001840C0">
      <w:pPr>
        <w:pStyle w:val="Default"/>
        <w:jc w:val="center"/>
      </w:pPr>
    </w:p>
    <w:p w14:paraId="496E8A58" w14:textId="30BE22AB" w:rsidR="00811EBF" w:rsidRDefault="00811EBF" w:rsidP="00811EBF">
      <w:pPr>
        <w:pStyle w:val="Default"/>
      </w:pPr>
    </w:p>
    <w:p w14:paraId="01A81E3E" w14:textId="6C9D3170" w:rsidR="00811EBF" w:rsidRPr="001C392A" w:rsidRDefault="00811EBF" w:rsidP="00811EBF">
      <w:pPr>
        <w:spacing w:before="120" w:after="120"/>
        <w:rPr>
          <w:lang w:val="en-GB"/>
        </w:rPr>
      </w:pPr>
      <w:r w:rsidRPr="001C392A">
        <w:rPr>
          <w:lang w:val="en-GB"/>
        </w:rPr>
        <w:t xml:space="preserve">Procurement Agency: </w:t>
      </w:r>
    </w:p>
    <w:p w14:paraId="0B25036A" w14:textId="6B49703E" w:rsidR="00811EBF" w:rsidRPr="001C392A" w:rsidRDefault="00811EBF" w:rsidP="00811EBF">
      <w:pPr>
        <w:spacing w:before="120" w:after="120"/>
        <w:rPr>
          <w:lang w:val="en-GB"/>
        </w:rPr>
      </w:pPr>
      <w:r w:rsidRPr="001C392A">
        <w:rPr>
          <w:lang w:val="en-GB"/>
        </w:rPr>
        <w:t xml:space="preserve">Ministry of </w:t>
      </w:r>
      <w:r w:rsidR="004D1807">
        <w:rPr>
          <w:lang w:val="en-GB"/>
        </w:rPr>
        <w:t>Information</w:t>
      </w:r>
      <w:r w:rsidRPr="001C392A">
        <w:rPr>
          <w:lang w:val="en-GB"/>
        </w:rPr>
        <w:t xml:space="preserve"> and Telecommunications, Republic of Serbia</w:t>
      </w:r>
    </w:p>
    <w:p w14:paraId="0496FE9A" w14:textId="41EEDAC7" w:rsidR="00811EBF" w:rsidRPr="001C392A" w:rsidRDefault="00811EBF" w:rsidP="00811EBF">
      <w:pPr>
        <w:spacing w:before="120" w:after="120"/>
        <w:rPr>
          <w:lang w:val="en-GB"/>
        </w:rPr>
      </w:pPr>
      <w:r w:rsidRPr="001C392A">
        <w:rPr>
          <w:lang w:val="en-GB"/>
        </w:rPr>
        <w:t xml:space="preserve">Postal address: </w:t>
      </w:r>
      <w:proofErr w:type="spellStart"/>
      <w:r w:rsidRPr="001C392A">
        <w:rPr>
          <w:lang w:val="en-GB"/>
        </w:rPr>
        <w:t>Nemanjina</w:t>
      </w:r>
      <w:proofErr w:type="spellEnd"/>
      <w:r w:rsidRPr="001C392A">
        <w:rPr>
          <w:lang w:val="en-GB"/>
        </w:rPr>
        <w:t xml:space="preserve"> 22-26, 11000 Belgrade, Republic of Serbia</w:t>
      </w:r>
    </w:p>
    <w:p w14:paraId="0DFBD43F" w14:textId="19532F2A" w:rsidR="00811EBF" w:rsidRPr="001C392A" w:rsidRDefault="00811EBF" w:rsidP="00811EBF">
      <w:pPr>
        <w:spacing w:before="120" w:after="120"/>
        <w:rPr>
          <w:lang w:val="en-GB"/>
        </w:rPr>
      </w:pPr>
      <w:r w:rsidRPr="001C392A">
        <w:rPr>
          <w:lang w:val="en-GB"/>
        </w:rPr>
        <w:t xml:space="preserve">E-mail: </w:t>
      </w:r>
      <w:hyperlink r:id="rId9" w:history="1">
        <w:r w:rsidR="00BA1FC2" w:rsidRPr="00F7363B">
          <w:rPr>
            <w:rStyle w:val="Hyperlink"/>
          </w:rPr>
          <w:t>internationalpublicprocurement@mit.gov.rs</w:t>
        </w:r>
      </w:hyperlink>
      <w:r w:rsidR="00BA1FC2">
        <w:t xml:space="preserve"> </w:t>
      </w:r>
    </w:p>
    <w:p w14:paraId="4F41C77A" w14:textId="63C4844C" w:rsidR="00811EBF" w:rsidRDefault="00811EBF" w:rsidP="00811EBF">
      <w:pPr>
        <w:spacing w:before="120" w:after="120"/>
        <w:rPr>
          <w:rStyle w:val="Hyperlink"/>
          <w:lang w:val="en-GB"/>
        </w:rPr>
      </w:pPr>
      <w:r w:rsidRPr="001C392A">
        <w:rPr>
          <w:lang w:val="en-GB"/>
        </w:rPr>
        <w:t xml:space="preserve">Internet address: </w:t>
      </w:r>
      <w:hyperlink r:id="rId10" w:history="1">
        <w:r w:rsidR="002F008B" w:rsidRPr="00F7363B">
          <w:rPr>
            <w:rStyle w:val="Hyperlink"/>
          </w:rPr>
          <w:t>http://www.mit.gov.rs/</w:t>
        </w:r>
      </w:hyperlink>
      <w:r w:rsidR="002F008B">
        <w:t xml:space="preserve"> </w:t>
      </w:r>
    </w:p>
    <w:p w14:paraId="694E8890" w14:textId="77777777" w:rsidR="001840C0" w:rsidRDefault="001840C0" w:rsidP="00811EBF">
      <w:pPr>
        <w:spacing w:before="120" w:after="120"/>
        <w:rPr>
          <w:lang w:val="en-GB"/>
        </w:rPr>
      </w:pPr>
    </w:p>
    <w:p w14:paraId="719E274A" w14:textId="3D2B7A52" w:rsidR="001840C0" w:rsidRPr="001840C0" w:rsidRDefault="001840C0" w:rsidP="001840C0">
      <w:pPr>
        <w:spacing w:before="60" w:after="120"/>
        <w:rPr>
          <w:rStyle w:val="Style2"/>
          <w:rFonts w:ascii="Times New Roman" w:hAnsi="Times New Roman" w:cs="Times New Roman"/>
          <w:sz w:val="24"/>
          <w:szCs w:val="24"/>
        </w:rPr>
      </w:pP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The Republic of Serbia (hereinafter called “Borrower”) has received financing from the European Investment Bank (the “Bank” or “EIB”) in the form of a credit (hereinafter called “credit”) toward the cost of undertaking a national digital education investment </w:t>
      </w:r>
      <w:proofErr w:type="spellStart"/>
      <w:r w:rsidRPr="001840C0">
        <w:rPr>
          <w:rStyle w:val="Style2"/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 “Connected Schools” in Serbia. The Ministry of </w:t>
      </w:r>
      <w:r w:rsidR="00A947E0">
        <w:rPr>
          <w:rStyle w:val="Style2"/>
          <w:rFonts w:ascii="Times New Roman" w:hAnsi="Times New Roman" w:cs="Times New Roman"/>
          <w:sz w:val="24"/>
          <w:szCs w:val="24"/>
          <w:lang w:val="sr-Latn-RS"/>
        </w:rPr>
        <w:t xml:space="preserve">Information </w:t>
      </w: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and Telecommunications, an implementing agency of the Borrower and Procuring Agency, intends to apply a portion of the proceeds of this credit to eligible payments under the contract for which this Request for Proposals is issued. </w:t>
      </w:r>
    </w:p>
    <w:p w14:paraId="5B564382" w14:textId="602B4A49" w:rsidR="001840C0" w:rsidRPr="001840C0" w:rsidRDefault="001840C0" w:rsidP="001840C0">
      <w:pPr>
        <w:spacing w:before="60" w:after="120"/>
        <w:rPr>
          <w:rStyle w:val="Style2"/>
          <w:rFonts w:ascii="Times New Roman" w:hAnsi="Times New Roman" w:cs="Times New Roman"/>
          <w:sz w:val="24"/>
          <w:szCs w:val="24"/>
        </w:rPr>
      </w:pP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The Procuring Agency now invites proposals to provide the following </w:t>
      </w:r>
      <w:r w:rsidR="00E844C7">
        <w:rPr>
          <w:rStyle w:val="Style2"/>
          <w:rFonts w:ascii="Times New Roman" w:hAnsi="Times New Roman" w:cs="Times New Roman"/>
          <w:sz w:val="24"/>
          <w:szCs w:val="24"/>
          <w:lang w:val="sr-Latn-RS"/>
        </w:rPr>
        <w:t>goods</w:t>
      </w: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: </w:t>
      </w:r>
      <w:r w:rsidR="00377FB0" w:rsidRPr="00377FB0">
        <w:rPr>
          <w:rStyle w:val="Style2"/>
          <w:rFonts w:ascii="Times New Roman" w:hAnsi="Times New Roman" w:cs="Times New Roman"/>
          <w:b/>
          <w:bCs/>
          <w:sz w:val="24"/>
          <w:szCs w:val="24"/>
        </w:rPr>
        <w:t>Expansion of AMRES data center virtualization and school network monitoring capacities</w:t>
      </w: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. </w:t>
      </w:r>
      <w:r w:rsidR="00E844C7">
        <w:rPr>
          <w:rStyle w:val="Style2"/>
          <w:rFonts w:ascii="Times New Roman" w:hAnsi="Times New Roman" w:cs="Times New Roman"/>
          <w:sz w:val="24"/>
          <w:szCs w:val="24"/>
        </w:rPr>
        <w:t>The subject</w:t>
      </w: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 of </w:t>
      </w:r>
      <w:r w:rsidR="00A45342">
        <w:rPr>
          <w:rStyle w:val="Style2"/>
          <w:rFonts w:ascii="Times New Roman" w:hAnsi="Times New Roman" w:cs="Times New Roman"/>
          <w:sz w:val="24"/>
          <w:szCs w:val="24"/>
        </w:rPr>
        <w:t xml:space="preserve">this procurement </w:t>
      </w:r>
      <w:r w:rsidR="00A45342" w:rsidRPr="00A45342">
        <w:rPr>
          <w:rStyle w:val="Style2"/>
          <w:rFonts w:ascii="Times New Roman" w:hAnsi="Times New Roman" w:cs="Times New Roman"/>
          <w:sz w:val="24"/>
          <w:szCs w:val="24"/>
        </w:rPr>
        <w:t xml:space="preserve">is </w:t>
      </w:r>
      <w:r w:rsidR="00E844C7">
        <w:rPr>
          <w:rStyle w:val="Style2"/>
          <w:rFonts w:ascii="Times New Roman" w:hAnsi="Times New Roman" w:cs="Times New Roman"/>
          <w:sz w:val="24"/>
          <w:szCs w:val="24"/>
        </w:rPr>
        <w:t xml:space="preserve">the </w:t>
      </w:r>
      <w:r w:rsidR="00A45342" w:rsidRPr="00A45342">
        <w:rPr>
          <w:rStyle w:val="Style2"/>
          <w:rFonts w:ascii="Times New Roman" w:hAnsi="Times New Roman" w:cs="Times New Roman"/>
          <w:sz w:val="24"/>
          <w:szCs w:val="24"/>
        </w:rPr>
        <w:t xml:space="preserve">upgrade of the academic data network with </w:t>
      </w:r>
      <w:r w:rsidR="00A45342">
        <w:rPr>
          <w:rStyle w:val="Style2"/>
          <w:rFonts w:ascii="Times New Roman" w:hAnsi="Times New Roman" w:cs="Times New Roman"/>
          <w:sz w:val="24"/>
          <w:szCs w:val="24"/>
        </w:rPr>
        <w:t xml:space="preserve">the </w:t>
      </w:r>
      <w:r w:rsidR="00A45342" w:rsidRPr="00A45342">
        <w:rPr>
          <w:rStyle w:val="Style2"/>
          <w:rFonts w:ascii="Times New Roman" w:hAnsi="Times New Roman" w:cs="Times New Roman"/>
          <w:sz w:val="24"/>
          <w:szCs w:val="24"/>
        </w:rPr>
        <w:t xml:space="preserve">aim to accelerate the journey to the </w:t>
      </w:r>
      <w:r w:rsidR="00E844C7">
        <w:rPr>
          <w:rStyle w:val="Style2"/>
          <w:rFonts w:ascii="Times New Roman" w:hAnsi="Times New Roman" w:cs="Times New Roman"/>
          <w:sz w:val="24"/>
          <w:szCs w:val="24"/>
        </w:rPr>
        <w:t>Software Defined</w:t>
      </w:r>
      <w:r w:rsidR="00A45342" w:rsidRPr="00A45342">
        <w:rPr>
          <w:rStyle w:val="Style2"/>
          <w:rFonts w:ascii="Times New Roman" w:hAnsi="Times New Roman" w:cs="Times New Roman"/>
          <w:sz w:val="24"/>
          <w:szCs w:val="24"/>
        </w:rPr>
        <w:t xml:space="preserve"> Data Center architecture (SDDC) by acquiring a private cloud platform that will be used to create and deliver all various services for their user</w:t>
      </w:r>
      <w:r w:rsidR="00397D3A">
        <w:rPr>
          <w:rStyle w:val="Style2"/>
          <w:rFonts w:ascii="Times New Roman" w:hAnsi="Times New Roman" w:cs="Times New Roman"/>
          <w:sz w:val="24"/>
          <w:szCs w:val="24"/>
        </w:rPr>
        <w:t>s</w:t>
      </w: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. More details on the </w:t>
      </w:r>
      <w:r w:rsidR="00E844C7">
        <w:rPr>
          <w:rStyle w:val="Style2"/>
          <w:rFonts w:ascii="Times New Roman" w:hAnsi="Times New Roman" w:cs="Times New Roman"/>
          <w:sz w:val="24"/>
          <w:szCs w:val="24"/>
        </w:rPr>
        <w:t xml:space="preserve">goods to be procured </w:t>
      </w:r>
      <w:r w:rsidRPr="001840C0">
        <w:rPr>
          <w:rStyle w:val="Style2"/>
          <w:rFonts w:ascii="Times New Roman" w:hAnsi="Times New Roman" w:cs="Times New Roman"/>
          <w:sz w:val="24"/>
          <w:szCs w:val="24"/>
        </w:rPr>
        <w:t>are provided in the Terms of Reference of the Procurement Document. Participation in the procurement process is open to all eligible candidates.</w:t>
      </w:r>
    </w:p>
    <w:p w14:paraId="41EB0450" w14:textId="67A5CB15" w:rsidR="00156BA0" w:rsidRDefault="001840C0" w:rsidP="001840C0">
      <w:pPr>
        <w:spacing w:before="60" w:after="120"/>
        <w:rPr>
          <w:rStyle w:val="Style2"/>
          <w:rFonts w:ascii="Times New Roman" w:hAnsi="Times New Roman" w:cs="Times New Roman"/>
          <w:sz w:val="24"/>
          <w:szCs w:val="24"/>
        </w:rPr>
      </w:pP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A firm will be selected under </w:t>
      </w:r>
      <w:r w:rsidR="00397D3A">
        <w:rPr>
          <w:rStyle w:val="Style2"/>
          <w:rFonts w:ascii="Times New Roman" w:hAnsi="Times New Roman" w:cs="Times New Roman"/>
          <w:sz w:val="24"/>
          <w:szCs w:val="24"/>
        </w:rPr>
        <w:t xml:space="preserve">an </w:t>
      </w:r>
      <w:r w:rsidRPr="001840C0">
        <w:rPr>
          <w:rStyle w:val="Style2"/>
          <w:rFonts w:ascii="Times New Roman" w:hAnsi="Times New Roman" w:cs="Times New Roman"/>
          <w:sz w:val="24"/>
          <w:szCs w:val="24"/>
        </w:rPr>
        <w:t>International open procedure (Two-envelope bidding process) as described in the RFP, in accordance with the provisions of EIB’s Guide to Procurement (“</w:t>
      </w:r>
      <w:proofErr w:type="spellStart"/>
      <w:r w:rsidRPr="001840C0">
        <w:rPr>
          <w:rStyle w:val="Style2"/>
          <w:rFonts w:ascii="Times New Roman" w:hAnsi="Times New Roman" w:cs="Times New Roman"/>
          <w:sz w:val="24"/>
          <w:szCs w:val="24"/>
        </w:rPr>
        <w:t>GtP</w:t>
      </w:r>
      <w:proofErr w:type="spellEnd"/>
      <w:r w:rsidRPr="001840C0">
        <w:rPr>
          <w:rStyle w:val="Style2"/>
          <w:rFonts w:ascii="Times New Roman" w:hAnsi="Times New Roman" w:cs="Times New Roman"/>
          <w:sz w:val="24"/>
          <w:szCs w:val="24"/>
        </w:rPr>
        <w:t>”), which can be found at the following website:</w:t>
      </w:r>
    </w:p>
    <w:p w14:paraId="589A0CE6" w14:textId="28EDB2A4" w:rsidR="00156BA0" w:rsidRDefault="001840C0" w:rsidP="001840C0">
      <w:pPr>
        <w:spacing w:before="60" w:after="120"/>
        <w:rPr>
          <w:rStyle w:val="Style2"/>
          <w:rFonts w:ascii="Times New Roman" w:hAnsi="Times New Roman" w:cs="Times New Roman"/>
          <w:sz w:val="24"/>
          <w:szCs w:val="24"/>
        </w:rPr>
      </w:pPr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840C0">
          <w:rPr>
            <w:rStyle w:val="Hyperlink"/>
            <w:rFonts w:cs="Times New Roman"/>
            <w:szCs w:val="24"/>
          </w:rPr>
          <w:t>https://www.eib.org/en/publications/guide-to-procurement</w:t>
        </w:r>
      </w:hyperlink>
      <w:r w:rsidRPr="001840C0">
        <w:rPr>
          <w:rStyle w:val="Style2"/>
          <w:rFonts w:ascii="Times New Roman" w:hAnsi="Times New Roman" w:cs="Times New Roman"/>
          <w:sz w:val="24"/>
          <w:szCs w:val="24"/>
        </w:rPr>
        <w:t xml:space="preserve">. </w:t>
      </w:r>
    </w:p>
    <w:p w14:paraId="1768B55C" w14:textId="7D8E5684" w:rsidR="001840C0" w:rsidRPr="001840C0" w:rsidRDefault="001840C0" w:rsidP="001840C0">
      <w:pPr>
        <w:spacing w:before="60" w:after="120"/>
        <w:rPr>
          <w:rStyle w:val="Style2"/>
          <w:rFonts w:ascii="Times New Roman" w:hAnsi="Times New Roman" w:cs="Times New Roman"/>
          <w:sz w:val="24"/>
          <w:szCs w:val="24"/>
        </w:rPr>
      </w:pPr>
      <w:r w:rsidRPr="001840C0">
        <w:rPr>
          <w:rStyle w:val="Style2"/>
          <w:rFonts w:ascii="Times New Roman" w:hAnsi="Times New Roman" w:cs="Times New Roman"/>
          <w:sz w:val="24"/>
          <w:szCs w:val="24"/>
        </w:rPr>
        <w:t>The evaluation criterion is the most economically advantageous proposal.</w:t>
      </w:r>
    </w:p>
    <w:p w14:paraId="152FC200" w14:textId="43A315FE" w:rsidR="00811464" w:rsidRDefault="00811464" w:rsidP="00811EBF">
      <w:pPr>
        <w:spacing w:before="120" w:after="120"/>
        <w:rPr>
          <w:rFonts w:cs="Times New Roman"/>
          <w:szCs w:val="24"/>
          <w:lang w:val="en-GB"/>
        </w:rPr>
      </w:pPr>
      <w:r w:rsidRPr="00811464">
        <w:rPr>
          <w:rFonts w:cs="Times New Roman"/>
          <w:szCs w:val="24"/>
          <w:lang w:val="en-GB"/>
        </w:rPr>
        <w:t xml:space="preserve">A Bid Security must accompany all bids and it shall be in the form of an unconditional, </w:t>
      </w:r>
      <w:proofErr w:type="gramStart"/>
      <w:r w:rsidRPr="00811464">
        <w:rPr>
          <w:rFonts w:cs="Times New Roman"/>
          <w:szCs w:val="24"/>
          <w:lang w:val="en-GB"/>
        </w:rPr>
        <w:t>irrevocable</w:t>
      </w:r>
      <w:proofErr w:type="gramEnd"/>
      <w:r w:rsidRPr="00811464">
        <w:rPr>
          <w:rFonts w:cs="Times New Roman"/>
          <w:szCs w:val="24"/>
          <w:lang w:val="en-GB"/>
        </w:rPr>
        <w:t xml:space="preserve"> and payable on first call bank guarantee issued by a bank. The amount and currency of the Bid Security shall be 25.000,00 EUR with a validity term not shorter than the validity period of the Bid plus 28 days (148 days in total). For the </w:t>
      </w:r>
      <w:r w:rsidR="008D79F3">
        <w:rPr>
          <w:rFonts w:cs="Times New Roman"/>
          <w:szCs w:val="24"/>
          <w:lang w:val="en-GB"/>
        </w:rPr>
        <w:t>Bidder</w:t>
      </w:r>
      <w:r w:rsidRPr="00811464">
        <w:rPr>
          <w:rFonts w:cs="Times New Roman"/>
          <w:szCs w:val="24"/>
          <w:lang w:val="en-GB"/>
        </w:rPr>
        <w:t>s from the Purchaser’s Country: Payable in RSD at the middle exchange rate of the National Bank of Serbia on the day invoking of the guarantee.</w:t>
      </w:r>
    </w:p>
    <w:p w14:paraId="02D623AE" w14:textId="56BCFE4C" w:rsidR="00640C4B" w:rsidRDefault="00640C4B" w:rsidP="00640C4B">
      <w:pPr>
        <w:spacing w:before="120" w:after="120"/>
        <w:rPr>
          <w:lang w:val="en-GB"/>
        </w:rPr>
      </w:pPr>
      <w:r w:rsidRPr="00156BA0">
        <w:rPr>
          <w:lang w:val="en-GB"/>
        </w:rPr>
        <w:t xml:space="preserve">Bid </w:t>
      </w:r>
      <w:r w:rsidR="001C392A" w:rsidRPr="00156BA0">
        <w:rPr>
          <w:lang w:val="en-GB"/>
        </w:rPr>
        <w:t>submission</w:t>
      </w:r>
      <w:r w:rsidRPr="00156BA0">
        <w:rPr>
          <w:lang w:val="en-GB"/>
        </w:rPr>
        <w:t xml:space="preserve"> date: 0</w:t>
      </w:r>
      <w:r w:rsidR="00156BA0" w:rsidRPr="00156BA0">
        <w:rPr>
          <w:lang w:val="en-GB"/>
        </w:rPr>
        <w:t>7</w:t>
      </w:r>
      <w:r w:rsidRPr="00156BA0">
        <w:rPr>
          <w:lang w:val="en-GB"/>
        </w:rPr>
        <w:t>.0</w:t>
      </w:r>
      <w:r w:rsidR="00182B34">
        <w:rPr>
          <w:lang w:val="en-GB"/>
        </w:rPr>
        <w:t>8</w:t>
      </w:r>
      <w:r w:rsidRPr="00156BA0">
        <w:rPr>
          <w:lang w:val="en-GB"/>
        </w:rPr>
        <w:t>.202</w:t>
      </w:r>
      <w:r w:rsidR="00182B34">
        <w:rPr>
          <w:lang w:val="en-GB"/>
        </w:rPr>
        <w:t>3</w:t>
      </w:r>
      <w:r w:rsidRPr="00156BA0">
        <w:rPr>
          <w:lang w:val="en-GB"/>
        </w:rPr>
        <w:t xml:space="preserve"> at 1</w:t>
      </w:r>
      <w:r w:rsidR="00E266B9">
        <w:rPr>
          <w:lang w:val="en-GB"/>
        </w:rPr>
        <w:t>0</w:t>
      </w:r>
      <w:r w:rsidRPr="00156BA0">
        <w:rPr>
          <w:lang w:val="en-GB"/>
        </w:rPr>
        <w:t>:00 (local time).</w:t>
      </w:r>
    </w:p>
    <w:p w14:paraId="5F6574C4" w14:textId="77777777" w:rsidR="00156BA0" w:rsidRPr="001C392A" w:rsidRDefault="00156BA0" w:rsidP="00640C4B">
      <w:pPr>
        <w:spacing w:before="120" w:after="120"/>
        <w:rPr>
          <w:lang w:val="en-GB"/>
        </w:rPr>
      </w:pPr>
    </w:p>
    <w:p w14:paraId="6C238746" w14:textId="5B93F507" w:rsidR="00640C4B" w:rsidRPr="001C392A" w:rsidRDefault="00640C4B" w:rsidP="00640C4B">
      <w:pPr>
        <w:spacing w:before="120" w:after="120"/>
        <w:jc w:val="left"/>
        <w:rPr>
          <w:lang w:val="en-GB"/>
        </w:rPr>
      </w:pPr>
      <w:r w:rsidRPr="001C392A">
        <w:rPr>
          <w:lang w:val="en-GB"/>
        </w:rPr>
        <w:t xml:space="preserve">Additional </w:t>
      </w:r>
      <w:r w:rsidR="00156BA0">
        <w:rPr>
          <w:lang w:val="en-GB"/>
        </w:rPr>
        <w:t>information</w:t>
      </w:r>
      <w:r w:rsidRPr="001C392A">
        <w:rPr>
          <w:lang w:val="en-GB"/>
        </w:rPr>
        <w:t xml:space="preserve"> can be obtained by e-mail:  </w:t>
      </w:r>
      <w:hyperlink r:id="rId12" w:history="1">
        <w:r w:rsidR="00BA1FC2" w:rsidRPr="00F7363B">
          <w:rPr>
            <w:rStyle w:val="Hyperlink"/>
          </w:rPr>
          <w:t>internationalpublicprocurement@mit.gov.rs</w:t>
        </w:r>
      </w:hyperlink>
      <w:r w:rsidR="00BA1FC2">
        <w:t xml:space="preserve"> </w:t>
      </w:r>
    </w:p>
    <w:p w14:paraId="2A098A0F" w14:textId="3497A887" w:rsidR="00640C4B" w:rsidRPr="001C392A" w:rsidRDefault="00640C4B" w:rsidP="00640C4B">
      <w:pPr>
        <w:spacing w:before="120" w:after="120"/>
        <w:jc w:val="left"/>
        <w:rPr>
          <w:lang w:val="en-GB"/>
        </w:rPr>
      </w:pPr>
      <w:r w:rsidRPr="001C392A">
        <w:rPr>
          <w:lang w:val="en-GB"/>
        </w:rPr>
        <w:t xml:space="preserve">Complete contract notice is available at the internet address: </w:t>
      </w:r>
      <w:hyperlink r:id="rId13" w:history="1">
        <w:r w:rsidR="00413F1A" w:rsidRPr="00F7363B">
          <w:rPr>
            <w:rStyle w:val="Hyperlink"/>
          </w:rPr>
          <w:t>https://ted.europa.eu/udl?uri=TED:NOTIC</w:t>
        </w:r>
        <w:r w:rsidR="00413F1A" w:rsidRPr="00F7363B">
          <w:rPr>
            <w:rStyle w:val="Hyperlink"/>
          </w:rPr>
          <w:t>E</w:t>
        </w:r>
        <w:r w:rsidR="00413F1A" w:rsidRPr="00F7363B">
          <w:rPr>
            <w:rStyle w:val="Hyperlink"/>
          </w:rPr>
          <w:t>:374041-2023:TEXT:EN:HTML&amp;src=0&amp;tabId=1</w:t>
        </w:r>
      </w:hyperlink>
      <w:r w:rsidR="00413F1A">
        <w:t xml:space="preserve"> </w:t>
      </w:r>
    </w:p>
    <w:p w14:paraId="73A63130" w14:textId="77777777" w:rsidR="00811EBF" w:rsidRPr="00811EBF" w:rsidRDefault="00811EBF" w:rsidP="00811EBF">
      <w:pPr>
        <w:spacing w:before="120" w:after="120"/>
        <w:rPr>
          <w:lang w:val="sr-Cyrl-RS"/>
        </w:rPr>
      </w:pPr>
    </w:p>
    <w:p w14:paraId="0944C5A7" w14:textId="77777777" w:rsidR="00811EBF" w:rsidRPr="00811EBF" w:rsidRDefault="00811EBF" w:rsidP="00811EBF">
      <w:pPr>
        <w:spacing w:before="120" w:after="120"/>
        <w:rPr>
          <w:lang w:val="sr-Cyrl-RS"/>
        </w:rPr>
      </w:pPr>
    </w:p>
    <w:p w14:paraId="7A7677EE" w14:textId="77777777" w:rsidR="00811EBF" w:rsidRPr="00811EBF" w:rsidRDefault="00811EBF" w:rsidP="00167F6B">
      <w:pPr>
        <w:spacing w:before="120" w:after="120"/>
        <w:jc w:val="left"/>
        <w:rPr>
          <w:lang w:val="sr-Latn-RS"/>
        </w:rPr>
      </w:pPr>
    </w:p>
    <w:p w14:paraId="20C1424B" w14:textId="7B94AC7F" w:rsidR="00D42CAA" w:rsidRPr="00D42CAA" w:rsidRDefault="00D42CAA" w:rsidP="00D42CAA">
      <w:pPr>
        <w:spacing w:before="120" w:after="120"/>
        <w:rPr>
          <w:lang w:val="sr-Cyrl-RS"/>
        </w:rPr>
      </w:pPr>
    </w:p>
    <w:sectPr w:rsidR="00D42CAA" w:rsidRPr="00D42CAA" w:rsidSect="00413F1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AFBBA"/>
    <w:multiLevelType w:val="hybridMultilevel"/>
    <w:tmpl w:val="545F7E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7753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NTW2MDIwMTcwtbRQ0lEKTi0uzszPAykwqQUA79pSkSwAAAA="/>
  </w:docVars>
  <w:rsids>
    <w:rsidRoot w:val="00D42CAA"/>
    <w:rsid w:val="00010140"/>
    <w:rsid w:val="00156BA0"/>
    <w:rsid w:val="00167F6B"/>
    <w:rsid w:val="00180947"/>
    <w:rsid w:val="00182B34"/>
    <w:rsid w:val="001840C0"/>
    <w:rsid w:val="001C392A"/>
    <w:rsid w:val="001E5D9F"/>
    <w:rsid w:val="002F008B"/>
    <w:rsid w:val="0033457D"/>
    <w:rsid w:val="003677CB"/>
    <w:rsid w:val="00377FB0"/>
    <w:rsid w:val="003800CD"/>
    <w:rsid w:val="00397D3A"/>
    <w:rsid w:val="003E1786"/>
    <w:rsid w:val="003F6910"/>
    <w:rsid w:val="00413F1A"/>
    <w:rsid w:val="004D1807"/>
    <w:rsid w:val="004D366B"/>
    <w:rsid w:val="004E6AC9"/>
    <w:rsid w:val="00530113"/>
    <w:rsid w:val="00541019"/>
    <w:rsid w:val="005836DB"/>
    <w:rsid w:val="005A35FE"/>
    <w:rsid w:val="00640C4B"/>
    <w:rsid w:val="00663C19"/>
    <w:rsid w:val="00672034"/>
    <w:rsid w:val="006756ED"/>
    <w:rsid w:val="0067638C"/>
    <w:rsid w:val="00691D50"/>
    <w:rsid w:val="0069564E"/>
    <w:rsid w:val="00733DFA"/>
    <w:rsid w:val="007445B5"/>
    <w:rsid w:val="00811464"/>
    <w:rsid w:val="00811EBF"/>
    <w:rsid w:val="008171EE"/>
    <w:rsid w:val="00884F64"/>
    <w:rsid w:val="008C2E3F"/>
    <w:rsid w:val="008D79F3"/>
    <w:rsid w:val="00900FE0"/>
    <w:rsid w:val="009265CD"/>
    <w:rsid w:val="009E1DF3"/>
    <w:rsid w:val="00A45342"/>
    <w:rsid w:val="00A947E0"/>
    <w:rsid w:val="00B37E9A"/>
    <w:rsid w:val="00B62AD1"/>
    <w:rsid w:val="00BA1FC2"/>
    <w:rsid w:val="00D003A5"/>
    <w:rsid w:val="00D25C48"/>
    <w:rsid w:val="00D42CAA"/>
    <w:rsid w:val="00E16AC1"/>
    <w:rsid w:val="00E266B9"/>
    <w:rsid w:val="00E65CB3"/>
    <w:rsid w:val="00E844C7"/>
    <w:rsid w:val="00F16D7A"/>
    <w:rsid w:val="00F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6E0E"/>
  <w15:chartTrackingRefBased/>
  <w15:docId w15:val="{E8141ED6-FA4F-4906-A2E0-216B5D7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AA"/>
    <w:pPr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ailyteminititle">
    <w:name w:val="Scailyte mini title"/>
    <w:basedOn w:val="Normal"/>
    <w:link w:val="ScailyteminititleChar"/>
    <w:qFormat/>
    <w:rsid w:val="00691D50"/>
    <w:pPr>
      <w:spacing w:after="0" w:line="240" w:lineRule="auto"/>
    </w:pPr>
    <w:rPr>
      <w:rFonts w:eastAsia="Times New Roman" w:cs="Times New Roman"/>
      <w:b/>
      <w:color w:val="EA5D1E"/>
      <w:sz w:val="22"/>
      <w:lang w:val="sr-Latn-RS" w:eastAsia="en-GB"/>
    </w:rPr>
  </w:style>
  <w:style w:type="character" w:customStyle="1" w:styleId="ScailyteminititleChar">
    <w:name w:val="Scailyte mini title Char"/>
    <w:basedOn w:val="DefaultParagraphFont"/>
    <w:link w:val="Scailyteminititle"/>
    <w:rsid w:val="00691D50"/>
    <w:rPr>
      <w:rFonts w:ascii="Times New Roman" w:eastAsia="Times New Roman" w:hAnsi="Times New Roman" w:cs="Times New Roman"/>
      <w:b/>
      <w:color w:val="EA5D1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AA"/>
    <w:pPr>
      <w:spacing w:after="0" w:line="240" w:lineRule="auto"/>
      <w:jc w:val="left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A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42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CAA"/>
    <w:rPr>
      <w:color w:val="954F72" w:themeColor="followedHyperlink"/>
      <w:u w:val="single"/>
    </w:rPr>
  </w:style>
  <w:style w:type="paragraph" w:customStyle="1" w:styleId="Default">
    <w:name w:val="Default"/>
    <w:rsid w:val="00811EBF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  <w:lang w:val="en-GB"/>
    </w:rPr>
  </w:style>
  <w:style w:type="character" w:customStyle="1" w:styleId="Style2">
    <w:name w:val="Style2"/>
    <w:basedOn w:val="DefaultParagraphFont"/>
    <w:uiPriority w:val="1"/>
    <w:rsid w:val="001840C0"/>
    <w:rPr>
      <w:rFonts w:asciiTheme="minorHAnsi" w:hAnsiTheme="minorHAnsi"/>
      <w:color w:val="auto"/>
      <w:sz w:val="22"/>
    </w:rPr>
  </w:style>
  <w:style w:type="paragraph" w:customStyle="1" w:styleId="Heading1a">
    <w:name w:val="Heading 1a"/>
    <w:rsid w:val="00D003A5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374041-2023:TEXT:EN:HTML&amp;src=0&amp;tabId=1" TargetMode="External"/><Relationship Id="rId13" Type="http://schemas.openxmlformats.org/officeDocument/2006/relationships/hyperlink" Target="https://ted.europa.eu/udl?uri=TED:NOTICE:374041-2023:TEXT:EN:HTML&amp;src=0&amp;tabId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publicprocurement@mit.gov.rs" TargetMode="External"/><Relationship Id="rId12" Type="http://schemas.openxmlformats.org/officeDocument/2006/relationships/hyperlink" Target="mailto:internationalpublicprocurement@mi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ib.org/en/publications/guide-to-procurement" TargetMode="External"/><Relationship Id="rId11" Type="http://schemas.openxmlformats.org/officeDocument/2006/relationships/hyperlink" Target="https://www.eib.org/en/publications/guide-to-procurement" TargetMode="External"/><Relationship Id="rId5" Type="http://schemas.openxmlformats.org/officeDocument/2006/relationships/hyperlink" Target="mailto:internationalpublicprocurement@mit.gov.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it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publicprocurement@mit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829</Words>
  <Characters>5237</Characters>
  <Application>Microsoft Office Word</Application>
  <DocSecurity>0</DocSecurity>
  <Lines>102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Jelic</dc:creator>
  <cp:keywords/>
  <dc:description/>
  <cp:lastModifiedBy>Ivana Jelic</cp:lastModifiedBy>
  <cp:revision>28</cp:revision>
  <dcterms:created xsi:type="dcterms:W3CDTF">2023-06-22T09:23:00Z</dcterms:created>
  <dcterms:modified xsi:type="dcterms:W3CDTF">2023-06-22T09:52:00Z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8e77d12c7e5cb22fe769a2d64238daa9ebae7794bf20da671f17de1a0a4bbc02</vt:lpwstr>
  </property>
</Properties>
</file>